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81167" w14:textId="77777777" w:rsidR="00223B28" w:rsidRPr="00223B28" w:rsidRDefault="00223B28" w:rsidP="00FC69CA">
      <w:pPr>
        <w:rPr>
          <w:rFonts w:ascii="Comex Light" w:eastAsia="Comex Light" w:hAnsi="Comex Light" w:cs="Comex Light"/>
          <w:sz w:val="18"/>
          <w:szCs w:val="18"/>
        </w:rPr>
      </w:pPr>
    </w:p>
    <w:p w14:paraId="5E7D9243" w14:textId="77777777" w:rsidR="000F3464" w:rsidRDefault="000F3464" w:rsidP="009B1520">
      <w:pPr>
        <w:pStyle w:val="Textoindependiente"/>
        <w:jc w:val="center"/>
        <w:rPr>
          <w:rFonts w:ascii="Comex Light" w:hAnsi="Comex Light"/>
          <w:b/>
          <w:bCs/>
          <w:sz w:val="28"/>
          <w:szCs w:val="28"/>
        </w:rPr>
      </w:pPr>
    </w:p>
    <w:p w14:paraId="4B5C05AE" w14:textId="76455FEA" w:rsidR="009B1520" w:rsidRPr="00855B48" w:rsidRDefault="00D920A3" w:rsidP="009B1520">
      <w:pPr>
        <w:pStyle w:val="Textoindependiente"/>
        <w:jc w:val="center"/>
        <w:rPr>
          <w:rFonts w:ascii="Comex Light" w:hAnsi="Comex Light"/>
          <w:sz w:val="22"/>
          <w:szCs w:val="22"/>
        </w:rPr>
      </w:pPr>
      <w:r w:rsidRPr="00855B48">
        <w:rPr>
          <w:rFonts w:ascii="Comex Light" w:hAnsi="Comex Light"/>
          <w:b/>
          <w:bCs/>
          <w:sz w:val="28"/>
          <w:szCs w:val="28"/>
        </w:rPr>
        <w:t>Tlajomulco celebra la identidad y las historias que han construido</w:t>
      </w:r>
      <w:r w:rsidR="00D6689A">
        <w:rPr>
          <w:rFonts w:ascii="Comex Light" w:hAnsi="Comex Light"/>
          <w:b/>
          <w:bCs/>
          <w:sz w:val="28"/>
          <w:szCs w:val="28"/>
        </w:rPr>
        <w:t xml:space="preserve"> a la</w:t>
      </w:r>
      <w:r w:rsidR="00FC69CA">
        <w:rPr>
          <w:rFonts w:ascii="Comex Light" w:hAnsi="Comex Light"/>
          <w:b/>
          <w:bCs/>
          <w:sz w:val="28"/>
          <w:szCs w:val="28"/>
        </w:rPr>
        <w:t xml:space="preserve"> </w:t>
      </w:r>
      <w:r w:rsidR="00D6689A">
        <w:rPr>
          <w:rFonts w:ascii="Comex Light" w:hAnsi="Comex Light"/>
          <w:b/>
          <w:bCs/>
          <w:sz w:val="28"/>
          <w:szCs w:val="28"/>
        </w:rPr>
        <w:t>comunidad de</w:t>
      </w:r>
      <w:r w:rsidRPr="00855B48">
        <w:rPr>
          <w:rFonts w:ascii="Comex Light" w:hAnsi="Comex Light"/>
          <w:b/>
          <w:bCs/>
          <w:sz w:val="28"/>
          <w:szCs w:val="28"/>
        </w:rPr>
        <w:t xml:space="preserve"> Cajititlán</w:t>
      </w:r>
      <w:r w:rsidRPr="00855B48">
        <w:rPr>
          <w:rFonts w:ascii="Comex Light" w:hAnsi="Comex Light"/>
          <w:b/>
          <w:bCs/>
          <w:sz w:val="22"/>
          <w:szCs w:val="22"/>
        </w:rPr>
        <w:t xml:space="preserve"> </w:t>
      </w:r>
    </w:p>
    <w:p w14:paraId="533DBFD4" w14:textId="3F3E70AE" w:rsidR="00447FAF" w:rsidRDefault="00D920A3" w:rsidP="000F3464">
      <w:pPr>
        <w:numPr>
          <w:ilvl w:val="0"/>
          <w:numId w:val="1"/>
        </w:numPr>
        <w:spacing w:line="276" w:lineRule="auto"/>
        <w:rPr>
          <w:rFonts w:ascii="Comex Light" w:hAnsi="Comex Light"/>
          <w:sz w:val="18"/>
          <w:szCs w:val="18"/>
        </w:rPr>
      </w:pPr>
      <w:r w:rsidRPr="00855B48">
        <w:rPr>
          <w:rFonts w:ascii="Comex Light" w:hAnsi="Comex Light"/>
          <w:sz w:val="18"/>
          <w:szCs w:val="18"/>
        </w:rPr>
        <w:t xml:space="preserve">En dos semanas </w:t>
      </w:r>
      <w:r w:rsidR="00223B28">
        <w:rPr>
          <w:rFonts w:ascii="Comex Light" w:hAnsi="Comex Light"/>
          <w:sz w:val="18"/>
          <w:szCs w:val="18"/>
        </w:rPr>
        <w:t>se llenaron</w:t>
      </w:r>
      <w:r w:rsidRPr="00855B48">
        <w:rPr>
          <w:rFonts w:ascii="Comex Light" w:hAnsi="Comex Light"/>
          <w:sz w:val="18"/>
          <w:szCs w:val="18"/>
        </w:rPr>
        <w:t xml:space="preserve"> de color aproximadamente 1</w:t>
      </w:r>
      <w:r w:rsidR="00D6689A">
        <w:rPr>
          <w:rFonts w:ascii="Comex Light" w:hAnsi="Comex Light"/>
          <w:sz w:val="18"/>
          <w:szCs w:val="18"/>
        </w:rPr>
        <w:t>,</w:t>
      </w:r>
      <w:r w:rsidRPr="00855B48">
        <w:rPr>
          <w:rFonts w:ascii="Comex Light" w:hAnsi="Comex Light"/>
          <w:sz w:val="18"/>
          <w:szCs w:val="18"/>
        </w:rPr>
        <w:t>280 m</w:t>
      </w:r>
      <w:r w:rsidRPr="00E71660">
        <w:rPr>
          <w:rFonts w:ascii="Calibri" w:hAnsi="Calibri" w:cs="Calibri"/>
          <w:sz w:val="18"/>
          <w:szCs w:val="18"/>
        </w:rPr>
        <w:t>²</w:t>
      </w:r>
      <w:r w:rsidR="00E71660" w:rsidRPr="00E71660">
        <w:rPr>
          <w:rFonts w:ascii="Comex Light" w:hAnsi="Comex Light"/>
          <w:sz w:val="18"/>
          <w:szCs w:val="18"/>
        </w:rPr>
        <w:t xml:space="preserve"> con 1,213 litros de</w:t>
      </w:r>
      <w:r w:rsidR="00E71660">
        <w:rPr>
          <w:rFonts w:ascii="Calibri" w:hAnsi="Calibri" w:cs="Calibri"/>
          <w:sz w:val="18"/>
          <w:szCs w:val="18"/>
        </w:rPr>
        <w:t xml:space="preserve"> </w:t>
      </w:r>
      <w:r w:rsidR="00E71660" w:rsidRPr="00E71660">
        <w:rPr>
          <w:rFonts w:ascii="Comex Light" w:hAnsi="Comex Light"/>
          <w:sz w:val="18"/>
          <w:szCs w:val="18"/>
        </w:rPr>
        <w:t>pintura</w:t>
      </w:r>
      <w:r w:rsidR="00E71660">
        <w:rPr>
          <w:rFonts w:ascii="Comex Light" w:hAnsi="Comex Light"/>
          <w:sz w:val="18"/>
          <w:szCs w:val="18"/>
        </w:rPr>
        <w:t>,</w:t>
      </w:r>
      <w:r w:rsidRPr="00855B48">
        <w:rPr>
          <w:rFonts w:ascii="Comex Light" w:hAnsi="Comex Light"/>
          <w:sz w:val="18"/>
          <w:szCs w:val="18"/>
        </w:rPr>
        <w:t xml:space="preserve"> de muros ubicados en pleno centro de </w:t>
      </w:r>
      <w:r w:rsidR="00855B48">
        <w:rPr>
          <w:rFonts w:ascii="Comex Light" w:hAnsi="Comex Light"/>
          <w:sz w:val="18"/>
          <w:szCs w:val="18"/>
        </w:rPr>
        <w:t>Cajititlán a través de la creación colectiva.</w:t>
      </w:r>
    </w:p>
    <w:p w14:paraId="704EECC1" w14:textId="77777777" w:rsidR="00855B48" w:rsidRPr="00855B48" w:rsidRDefault="00855B48" w:rsidP="00855B48">
      <w:pPr>
        <w:spacing w:line="276" w:lineRule="auto"/>
        <w:ind w:left="720"/>
        <w:rPr>
          <w:rFonts w:ascii="Comex Light" w:hAnsi="Comex Light"/>
          <w:sz w:val="18"/>
          <w:szCs w:val="18"/>
        </w:rPr>
      </w:pPr>
    </w:p>
    <w:p w14:paraId="24E8EAAF" w14:textId="77777777" w:rsidR="00683B58" w:rsidRPr="0094512D" w:rsidRDefault="00D920A3" w:rsidP="00683B58">
      <w:pPr>
        <w:spacing w:line="276" w:lineRule="auto"/>
        <w:jc w:val="both"/>
        <w:rPr>
          <w:rFonts w:ascii="Comex Light" w:hAnsi="Comex Light"/>
          <w:sz w:val="22"/>
          <w:szCs w:val="22"/>
        </w:rPr>
      </w:pPr>
      <w:r w:rsidRPr="0094512D">
        <w:rPr>
          <w:rFonts w:ascii="Comex Light" w:hAnsi="Comex Light"/>
          <w:b/>
          <w:bCs/>
          <w:sz w:val="22"/>
          <w:szCs w:val="22"/>
        </w:rPr>
        <w:t>Cajititlán, Tlajomulco de Zúñiga, Jalisco, a 4 de diciembre de 2019.</w:t>
      </w:r>
      <w:r w:rsidR="00F77BA1" w:rsidRPr="0094512D">
        <w:rPr>
          <w:rFonts w:ascii="Comex Light" w:hAnsi="Comex Light"/>
          <w:b/>
          <w:bCs/>
          <w:sz w:val="22"/>
          <w:szCs w:val="22"/>
        </w:rPr>
        <w:t xml:space="preserve">- </w:t>
      </w:r>
      <w:r w:rsidR="00855B48" w:rsidRPr="0094512D">
        <w:rPr>
          <w:rFonts w:ascii="Comex Light" w:hAnsi="Comex Light"/>
          <w:sz w:val="22"/>
          <w:szCs w:val="22"/>
        </w:rPr>
        <w:t xml:space="preserve">Colectivo Tomate en alianza con el programa de impacto social de Comex por un México Bien Hecho y con el apoyo del H. Ayuntamiento de Tlajomulco de Zúñiga a través del Instituto de Alternativas para Jóvenes de Tlajomulco (INDAJO); </w:t>
      </w:r>
      <w:r w:rsidR="00F77BA1" w:rsidRPr="0094512D">
        <w:rPr>
          <w:rFonts w:ascii="Comex Light" w:hAnsi="Comex Light"/>
          <w:sz w:val="22"/>
          <w:szCs w:val="22"/>
        </w:rPr>
        <w:t xml:space="preserve">realizaron el proyecto Ciudad Mural Tlajomulco, iniciativa que </w:t>
      </w:r>
      <w:r w:rsidR="00D6689A" w:rsidRPr="0094512D">
        <w:rPr>
          <w:rFonts w:ascii="Comex Light" w:hAnsi="Comex Light"/>
          <w:sz w:val="22"/>
          <w:szCs w:val="22"/>
        </w:rPr>
        <w:t>busca el</w:t>
      </w:r>
      <w:r w:rsidR="00F77BA1" w:rsidRPr="0094512D">
        <w:rPr>
          <w:rFonts w:ascii="Comex Light" w:hAnsi="Comex Light"/>
          <w:sz w:val="22"/>
          <w:szCs w:val="22"/>
        </w:rPr>
        <w:t xml:space="preserve"> fortalecimiento del tejido social mediante la participación colectiva y la integración de la comunidad de Cajititlán.  </w:t>
      </w:r>
    </w:p>
    <w:p w14:paraId="47109FBA" w14:textId="77777777" w:rsidR="00683B58" w:rsidRPr="0094512D" w:rsidRDefault="00683B58" w:rsidP="00683B58">
      <w:pPr>
        <w:spacing w:line="276" w:lineRule="auto"/>
        <w:jc w:val="both"/>
        <w:rPr>
          <w:rFonts w:ascii="Comex Light" w:hAnsi="Comex Light"/>
          <w:sz w:val="22"/>
          <w:szCs w:val="22"/>
        </w:rPr>
      </w:pPr>
    </w:p>
    <w:p w14:paraId="50AFAA05" w14:textId="0669843A" w:rsidR="00683B58" w:rsidRPr="0094512D" w:rsidRDefault="00F77BA1" w:rsidP="00683B58">
      <w:pPr>
        <w:spacing w:line="276" w:lineRule="auto"/>
        <w:jc w:val="both"/>
        <w:rPr>
          <w:rFonts w:ascii="Comex Light" w:hAnsi="Comex Light"/>
          <w:sz w:val="22"/>
          <w:szCs w:val="22"/>
        </w:rPr>
      </w:pPr>
      <w:r w:rsidRPr="0094512D">
        <w:rPr>
          <w:rFonts w:ascii="Comex Light" w:hAnsi="Comex Light"/>
          <w:sz w:val="22"/>
          <w:szCs w:val="22"/>
        </w:rPr>
        <w:t>26 artistas</w:t>
      </w:r>
      <w:r w:rsidR="00D6689A" w:rsidRPr="0094512D">
        <w:rPr>
          <w:rFonts w:ascii="Comex Light" w:hAnsi="Comex Light"/>
          <w:sz w:val="22"/>
          <w:szCs w:val="22"/>
        </w:rPr>
        <w:t xml:space="preserve"> se dieron cita</w:t>
      </w:r>
      <w:r w:rsidRPr="0094512D">
        <w:rPr>
          <w:rFonts w:ascii="Comex Light" w:hAnsi="Comex Light"/>
          <w:sz w:val="22"/>
          <w:szCs w:val="22"/>
        </w:rPr>
        <w:t xml:space="preserve"> en Cajititlán</w:t>
      </w:r>
      <w:r w:rsidR="00D6689A" w:rsidRPr="0094512D">
        <w:rPr>
          <w:rFonts w:ascii="Comex Light" w:hAnsi="Comex Light"/>
          <w:sz w:val="22"/>
          <w:szCs w:val="22"/>
        </w:rPr>
        <w:t xml:space="preserve"> </w:t>
      </w:r>
      <w:r w:rsidRPr="0094512D">
        <w:rPr>
          <w:rFonts w:ascii="Comex Light" w:hAnsi="Comex Light"/>
          <w:sz w:val="22"/>
          <w:szCs w:val="22"/>
        </w:rPr>
        <w:t xml:space="preserve">para conocer </w:t>
      </w:r>
      <w:r w:rsidR="00683B58" w:rsidRPr="0094512D">
        <w:rPr>
          <w:rFonts w:ascii="Comex Light" w:hAnsi="Comex Light"/>
          <w:sz w:val="22"/>
          <w:szCs w:val="22"/>
        </w:rPr>
        <w:t xml:space="preserve">a </w:t>
      </w:r>
      <w:r w:rsidRPr="0094512D">
        <w:rPr>
          <w:rFonts w:ascii="Comex Light" w:hAnsi="Comex Light"/>
          <w:sz w:val="22"/>
          <w:szCs w:val="22"/>
        </w:rPr>
        <w:t xml:space="preserve">sus pobladores y crear en sus fachadas una galería que </w:t>
      </w:r>
      <w:r w:rsidR="00683B58" w:rsidRPr="0094512D">
        <w:rPr>
          <w:rFonts w:ascii="Comex Light" w:hAnsi="Comex Light"/>
          <w:sz w:val="22"/>
          <w:szCs w:val="22"/>
        </w:rPr>
        <w:t>represente su identidad</w:t>
      </w:r>
      <w:r w:rsidR="00D6689A" w:rsidRPr="0094512D">
        <w:rPr>
          <w:rFonts w:ascii="Comex Light" w:hAnsi="Comex Light"/>
          <w:sz w:val="22"/>
          <w:szCs w:val="22"/>
        </w:rPr>
        <w:t>, plasmando sus historias en un corredor de murales de aproximadamente 1,280 m</w:t>
      </w:r>
      <w:r w:rsidR="00D6689A" w:rsidRPr="0094512D">
        <w:rPr>
          <w:rFonts w:ascii="Calibri" w:hAnsi="Calibri" w:cs="Calibri"/>
          <w:sz w:val="22"/>
          <w:szCs w:val="22"/>
        </w:rPr>
        <w:t>²</w:t>
      </w:r>
      <w:r w:rsidR="00E71660" w:rsidRPr="0094512D">
        <w:rPr>
          <w:rFonts w:ascii="Comex Light" w:hAnsi="Comex Light"/>
          <w:sz w:val="22"/>
          <w:szCs w:val="22"/>
        </w:rPr>
        <w:t xml:space="preserve"> con 1,213 litros de pintura</w:t>
      </w:r>
      <w:r w:rsidR="00D6689A" w:rsidRPr="0094512D">
        <w:rPr>
          <w:rFonts w:ascii="Comex Light" w:hAnsi="Comex Light"/>
          <w:sz w:val="22"/>
          <w:szCs w:val="22"/>
        </w:rPr>
        <w:t xml:space="preserve">, </w:t>
      </w:r>
      <w:r w:rsidR="00FC69CA" w:rsidRPr="0094512D">
        <w:rPr>
          <w:rFonts w:ascii="Comex Light" w:hAnsi="Comex Light"/>
          <w:sz w:val="22"/>
          <w:szCs w:val="22"/>
        </w:rPr>
        <w:t>lo que generó</w:t>
      </w:r>
      <w:r w:rsidR="00683B58" w:rsidRPr="0094512D">
        <w:rPr>
          <w:rFonts w:ascii="Comex Light" w:hAnsi="Comex Light"/>
          <w:sz w:val="22"/>
          <w:szCs w:val="22"/>
        </w:rPr>
        <w:t xml:space="preserve"> sentido de pertenencia entre sus habitantes. De</w:t>
      </w:r>
      <w:r w:rsidR="00FC69CA" w:rsidRPr="0094512D">
        <w:rPr>
          <w:rFonts w:ascii="Comex Light" w:hAnsi="Comex Light"/>
          <w:sz w:val="22"/>
          <w:szCs w:val="22"/>
        </w:rPr>
        <w:t>ntro de</w:t>
      </w:r>
      <w:r w:rsidR="00683B58" w:rsidRPr="0094512D">
        <w:rPr>
          <w:rFonts w:ascii="Comex Light" w:hAnsi="Comex Light"/>
          <w:sz w:val="22"/>
          <w:szCs w:val="22"/>
        </w:rPr>
        <w:t xml:space="preserve"> los artistas seleccionados 5 provienen de Jalisco</w:t>
      </w:r>
      <w:r w:rsidR="00FC69CA" w:rsidRPr="0094512D">
        <w:rPr>
          <w:rFonts w:ascii="Comex Light" w:hAnsi="Comex Light"/>
          <w:sz w:val="22"/>
          <w:szCs w:val="22"/>
        </w:rPr>
        <w:t>.</w:t>
      </w:r>
      <w:r w:rsidR="00683B58" w:rsidRPr="0094512D">
        <w:rPr>
          <w:rFonts w:ascii="Comex Light" w:hAnsi="Comex Light"/>
          <w:sz w:val="22"/>
          <w:szCs w:val="22"/>
        </w:rPr>
        <w:t xml:space="preserve"> </w:t>
      </w:r>
    </w:p>
    <w:p w14:paraId="0BB99371" w14:textId="695A0DF2" w:rsidR="00683B58" w:rsidRPr="0094512D" w:rsidRDefault="00683B58" w:rsidP="00683B58">
      <w:pPr>
        <w:spacing w:line="276" w:lineRule="auto"/>
        <w:jc w:val="both"/>
        <w:rPr>
          <w:rFonts w:ascii="Comex Light" w:hAnsi="Comex Light"/>
          <w:sz w:val="22"/>
          <w:szCs w:val="22"/>
        </w:rPr>
      </w:pPr>
    </w:p>
    <w:p w14:paraId="3ED5EA16" w14:textId="32615801" w:rsidR="00683B58" w:rsidRPr="0094512D" w:rsidRDefault="00683B58" w:rsidP="00683B58">
      <w:pPr>
        <w:spacing w:line="276" w:lineRule="auto"/>
        <w:jc w:val="both"/>
        <w:rPr>
          <w:rFonts w:ascii="Comex Light" w:hAnsi="Comex Light"/>
          <w:sz w:val="22"/>
          <w:szCs w:val="22"/>
        </w:rPr>
      </w:pPr>
      <w:r w:rsidRPr="0094512D">
        <w:rPr>
          <w:rFonts w:ascii="Comex Light" w:hAnsi="Comex Light"/>
          <w:sz w:val="22"/>
          <w:szCs w:val="22"/>
        </w:rPr>
        <w:t xml:space="preserve">En el proyecto participaron más de 30 familias que compartieron sus historias con los artistas, para inspirar los murales creados en las fachadas de sus casas </w:t>
      </w:r>
      <w:r w:rsidR="00C93C34">
        <w:rPr>
          <w:rFonts w:ascii="Comex Light" w:hAnsi="Comex Light"/>
          <w:sz w:val="22"/>
          <w:szCs w:val="22"/>
        </w:rPr>
        <w:t>y</w:t>
      </w:r>
      <w:r w:rsidRPr="0094512D">
        <w:rPr>
          <w:rFonts w:ascii="Comex Light" w:hAnsi="Comex Light"/>
          <w:sz w:val="22"/>
          <w:szCs w:val="22"/>
        </w:rPr>
        <w:t xml:space="preserve"> negocios. </w:t>
      </w:r>
      <w:r w:rsidR="00FC69CA" w:rsidRPr="0094512D">
        <w:rPr>
          <w:rFonts w:ascii="Comex Light" w:hAnsi="Comex Light"/>
          <w:sz w:val="22"/>
          <w:szCs w:val="22"/>
        </w:rPr>
        <w:t xml:space="preserve">Asimismo, </w:t>
      </w:r>
      <w:r w:rsidR="00BA137C">
        <w:rPr>
          <w:rFonts w:ascii="Comex Light" w:hAnsi="Comex Light"/>
          <w:sz w:val="22"/>
          <w:szCs w:val="22"/>
        </w:rPr>
        <w:t>personas de la localidad se unieron como voluntarios</w:t>
      </w:r>
      <w:r w:rsidRPr="0094512D">
        <w:rPr>
          <w:rFonts w:ascii="Comex Light" w:hAnsi="Comex Light"/>
          <w:sz w:val="22"/>
          <w:szCs w:val="22"/>
        </w:rPr>
        <w:t xml:space="preserve"> </w:t>
      </w:r>
      <w:r w:rsidR="00FC69CA" w:rsidRPr="0094512D">
        <w:rPr>
          <w:rFonts w:ascii="Comex Light" w:hAnsi="Comex Light"/>
          <w:sz w:val="22"/>
          <w:szCs w:val="22"/>
        </w:rPr>
        <w:t xml:space="preserve">y otras </w:t>
      </w:r>
      <w:r w:rsidR="00BA137C">
        <w:rPr>
          <w:rFonts w:ascii="Comex Light" w:hAnsi="Comex Light"/>
          <w:sz w:val="22"/>
          <w:szCs w:val="22"/>
        </w:rPr>
        <w:t>185</w:t>
      </w:r>
      <w:r w:rsidR="00FC69CA" w:rsidRPr="0094512D">
        <w:rPr>
          <w:rFonts w:ascii="Comex Light" w:hAnsi="Comex Light"/>
          <w:sz w:val="22"/>
          <w:szCs w:val="22"/>
        </w:rPr>
        <w:t xml:space="preserve"> </w:t>
      </w:r>
      <w:r w:rsidRPr="0094512D">
        <w:rPr>
          <w:rFonts w:ascii="Comex Light" w:hAnsi="Comex Light"/>
          <w:sz w:val="22"/>
          <w:szCs w:val="22"/>
        </w:rPr>
        <w:t>más</w:t>
      </w:r>
      <w:r w:rsidR="00BA137C">
        <w:rPr>
          <w:rFonts w:ascii="Comex Light" w:hAnsi="Comex Light"/>
          <w:sz w:val="22"/>
          <w:szCs w:val="22"/>
        </w:rPr>
        <w:t>,</w:t>
      </w:r>
      <w:bookmarkStart w:id="0" w:name="_GoBack"/>
      <w:bookmarkEnd w:id="0"/>
      <w:r w:rsidRPr="0094512D">
        <w:rPr>
          <w:rFonts w:ascii="Comex Light" w:hAnsi="Comex Light"/>
          <w:sz w:val="22"/>
          <w:szCs w:val="22"/>
        </w:rPr>
        <w:t xml:space="preserve"> participaron en los talleres que tanto el colectivo como los artistas han impartido en la comunidad, especialmente las niñas y los niños.</w:t>
      </w:r>
    </w:p>
    <w:p w14:paraId="38B363F6" w14:textId="496FE1A9" w:rsidR="00683B58" w:rsidRDefault="00683B58" w:rsidP="00683B58">
      <w:pPr>
        <w:spacing w:line="276" w:lineRule="auto"/>
        <w:jc w:val="both"/>
        <w:rPr>
          <w:rFonts w:ascii="Comex Light" w:hAnsi="Comex Light"/>
          <w:sz w:val="22"/>
          <w:szCs w:val="22"/>
        </w:rPr>
      </w:pPr>
    </w:p>
    <w:p w14:paraId="1A7172CB" w14:textId="77777777" w:rsidR="00490CBB" w:rsidRPr="0094512D" w:rsidRDefault="00490CBB" w:rsidP="00490CBB">
      <w:pPr>
        <w:spacing w:line="276" w:lineRule="auto"/>
        <w:jc w:val="both"/>
        <w:rPr>
          <w:rFonts w:ascii="Comex Light" w:hAnsi="Comex Light"/>
          <w:sz w:val="22"/>
          <w:szCs w:val="22"/>
        </w:rPr>
      </w:pPr>
      <w:r w:rsidRPr="0094512D">
        <w:rPr>
          <w:rFonts w:ascii="Comex Light" w:hAnsi="Comex Light"/>
          <w:sz w:val="22"/>
          <w:szCs w:val="22"/>
        </w:rPr>
        <w:t xml:space="preserve">El trabajo con la comunidad durante los dos meses previos ha sido fundamental, ya que se estableció contacto con los vecinos a través de talleres y juntas, con el objetivo de generar confianza hacia el proyecto y entre ellos mismos. Por su parte don José Luis Rodríguez, cronista de Tlajomulco, mencionó </w:t>
      </w:r>
      <w:r w:rsidRPr="0094512D">
        <w:rPr>
          <w:rFonts w:ascii="Comex Light" w:hAnsi="Comex Light"/>
          <w:i/>
          <w:iCs/>
          <w:sz w:val="22"/>
          <w:szCs w:val="22"/>
        </w:rPr>
        <w:t>“Yo pienso que con esos murales el mismo pueblo se va a interesar por descubrir parte de su historia”.</w:t>
      </w:r>
    </w:p>
    <w:p w14:paraId="6430DFE4" w14:textId="77777777" w:rsidR="00490CBB" w:rsidRPr="0094512D" w:rsidRDefault="00490CBB" w:rsidP="00683B58">
      <w:pPr>
        <w:spacing w:line="276" w:lineRule="auto"/>
        <w:jc w:val="both"/>
        <w:rPr>
          <w:rFonts w:ascii="Comex Light" w:hAnsi="Comex Light"/>
          <w:sz w:val="22"/>
          <w:szCs w:val="22"/>
        </w:rPr>
      </w:pPr>
    </w:p>
    <w:p w14:paraId="2BFFE7FD" w14:textId="1208DACC" w:rsidR="000F3464" w:rsidRDefault="000F3464" w:rsidP="00683B58">
      <w:pPr>
        <w:spacing w:line="276" w:lineRule="auto"/>
        <w:jc w:val="both"/>
        <w:rPr>
          <w:rFonts w:ascii="Comex Light" w:hAnsi="Comex Light"/>
          <w:iCs/>
          <w:sz w:val="22"/>
          <w:szCs w:val="22"/>
        </w:rPr>
      </w:pPr>
      <w:r>
        <w:rPr>
          <w:rFonts w:ascii="Comex Light" w:hAnsi="Comex Light"/>
          <w:sz w:val="22"/>
          <w:szCs w:val="22"/>
        </w:rPr>
        <w:t xml:space="preserve">De acuerdo a un estudio realizado </w:t>
      </w:r>
      <w:r w:rsidRPr="000F3464">
        <w:rPr>
          <w:rFonts w:ascii="Comex Light" w:hAnsi="Comex Light"/>
          <w:iCs/>
          <w:sz w:val="22"/>
          <w:szCs w:val="22"/>
        </w:rPr>
        <w:t xml:space="preserve">por Camino Colectivo, consultoría especializada en política pública y desarrollo sostenible, el Tecnológico de Monterrey y ADECO en el que se evaluó el impacto de la metodología Ciudad Mural, el 91.9% de las personas se sienten más comprometidas a participar en acciones que mejoren su comunidad después de una intervención como la de </w:t>
      </w:r>
      <w:proofErr w:type="spellStart"/>
      <w:r w:rsidRPr="000F3464">
        <w:rPr>
          <w:rFonts w:ascii="Comex Light" w:hAnsi="Comex Light"/>
          <w:iCs/>
          <w:sz w:val="22"/>
          <w:szCs w:val="22"/>
        </w:rPr>
        <w:t>Cajatitlán</w:t>
      </w:r>
      <w:proofErr w:type="spellEnd"/>
      <w:r w:rsidRPr="000F3464">
        <w:rPr>
          <w:rFonts w:ascii="Comex Light" w:hAnsi="Comex Light"/>
          <w:iCs/>
          <w:sz w:val="22"/>
          <w:szCs w:val="22"/>
        </w:rPr>
        <w:t>.</w:t>
      </w:r>
      <w:r w:rsidR="00490CBB">
        <w:rPr>
          <w:rFonts w:ascii="Comex Light" w:hAnsi="Comex Light"/>
          <w:iCs/>
          <w:sz w:val="22"/>
          <w:szCs w:val="22"/>
        </w:rPr>
        <w:t xml:space="preserve"> Asimismo, la confianza para relacionarse y comunicarse entre vecinos aumentó en un 83.2%.</w:t>
      </w:r>
    </w:p>
    <w:p w14:paraId="59528F89" w14:textId="4F596BE9" w:rsidR="00490CBB" w:rsidRDefault="00490CBB" w:rsidP="00683B58">
      <w:pPr>
        <w:spacing w:line="276" w:lineRule="auto"/>
        <w:jc w:val="both"/>
        <w:rPr>
          <w:rFonts w:ascii="Comex Light" w:hAnsi="Comex Light"/>
          <w:iCs/>
          <w:sz w:val="22"/>
          <w:szCs w:val="22"/>
        </w:rPr>
      </w:pPr>
    </w:p>
    <w:p w14:paraId="2FAB2ADC" w14:textId="56AAE13E" w:rsidR="00490CBB" w:rsidRDefault="00490CBB" w:rsidP="00490CBB">
      <w:pPr>
        <w:spacing w:line="276" w:lineRule="auto"/>
        <w:jc w:val="both"/>
        <w:rPr>
          <w:rFonts w:ascii="Comex Light" w:hAnsi="Comex Light"/>
          <w:sz w:val="22"/>
          <w:szCs w:val="22"/>
        </w:rPr>
      </w:pPr>
      <w:r>
        <w:rPr>
          <w:rFonts w:ascii="Comex Light" w:hAnsi="Comex Light"/>
          <w:iCs/>
          <w:sz w:val="22"/>
          <w:szCs w:val="22"/>
        </w:rPr>
        <w:t xml:space="preserve">“Estos resultados nos confirman que estamos en el camino correcto. Devolver el espacio público a la comunidad a través del color y el arte permite </w:t>
      </w:r>
      <w:r w:rsidR="00196617">
        <w:rPr>
          <w:rFonts w:ascii="Comex Light" w:hAnsi="Comex Light"/>
          <w:iCs/>
          <w:sz w:val="22"/>
          <w:szCs w:val="22"/>
        </w:rPr>
        <w:t xml:space="preserve">reconstruir </w:t>
      </w:r>
      <w:r>
        <w:rPr>
          <w:rFonts w:ascii="Comex Light" w:hAnsi="Comex Light"/>
          <w:iCs/>
          <w:sz w:val="22"/>
          <w:szCs w:val="22"/>
        </w:rPr>
        <w:t xml:space="preserve">el tejido social y </w:t>
      </w:r>
      <w:r w:rsidR="00196617">
        <w:rPr>
          <w:rFonts w:ascii="Comex Light" w:hAnsi="Comex Light"/>
          <w:iCs/>
          <w:sz w:val="22"/>
          <w:szCs w:val="22"/>
        </w:rPr>
        <w:t xml:space="preserve">conectar </w:t>
      </w:r>
      <w:r>
        <w:rPr>
          <w:rFonts w:ascii="Comex Light" w:hAnsi="Comex Light"/>
          <w:iCs/>
          <w:sz w:val="22"/>
          <w:szCs w:val="22"/>
        </w:rPr>
        <w:t>a las personas</w:t>
      </w:r>
      <w:r w:rsidR="00196617">
        <w:rPr>
          <w:rFonts w:ascii="Comex Light" w:hAnsi="Comex Light"/>
          <w:iCs/>
          <w:sz w:val="22"/>
          <w:szCs w:val="22"/>
        </w:rPr>
        <w:t xml:space="preserve"> para que puedan mejorar su calidad de vida.</w:t>
      </w:r>
      <w:r>
        <w:rPr>
          <w:rFonts w:ascii="Comex Light" w:hAnsi="Comex Light"/>
          <w:iCs/>
          <w:sz w:val="22"/>
          <w:szCs w:val="22"/>
        </w:rPr>
        <w:t xml:space="preserve"> A través de la suma de esfuerzos de la iniciativa privada, los gobiernos y la propia comunidad se logrará construir un México Bien Hecho</w:t>
      </w:r>
      <w:r w:rsidR="00196617">
        <w:rPr>
          <w:rFonts w:ascii="Comex Light" w:hAnsi="Comex Light"/>
          <w:iCs/>
          <w:sz w:val="22"/>
          <w:szCs w:val="22"/>
        </w:rPr>
        <w:t>”</w:t>
      </w:r>
      <w:r>
        <w:rPr>
          <w:rFonts w:ascii="Comex Light" w:hAnsi="Comex Light"/>
          <w:iCs/>
          <w:sz w:val="22"/>
          <w:szCs w:val="22"/>
        </w:rPr>
        <w:t xml:space="preserve"> </w:t>
      </w:r>
      <w:r w:rsidRPr="0094512D">
        <w:rPr>
          <w:rFonts w:ascii="Comex Light" w:hAnsi="Comex Light"/>
          <w:sz w:val="22"/>
          <w:szCs w:val="22"/>
        </w:rPr>
        <w:t>comentó Gilberto</w:t>
      </w:r>
      <w:r w:rsidR="00196617">
        <w:rPr>
          <w:rFonts w:ascii="Comex Light" w:hAnsi="Comex Light"/>
          <w:sz w:val="22"/>
          <w:szCs w:val="22"/>
        </w:rPr>
        <w:t xml:space="preserve"> Alcaraz, Director del programa Comex por un México Bien Hecho. </w:t>
      </w:r>
    </w:p>
    <w:p w14:paraId="348DAE20" w14:textId="79D3E23A" w:rsidR="00490CBB" w:rsidRPr="000F3464" w:rsidRDefault="00490CBB" w:rsidP="00683B58">
      <w:pPr>
        <w:spacing w:line="276" w:lineRule="auto"/>
        <w:jc w:val="both"/>
        <w:rPr>
          <w:rFonts w:ascii="Comex Light" w:hAnsi="Comex Light"/>
          <w:iCs/>
          <w:sz w:val="22"/>
          <w:szCs w:val="22"/>
        </w:rPr>
      </w:pPr>
    </w:p>
    <w:p w14:paraId="2A765965" w14:textId="77777777" w:rsidR="000F3464" w:rsidRDefault="000F3464" w:rsidP="00683B58">
      <w:pPr>
        <w:spacing w:line="276" w:lineRule="auto"/>
        <w:jc w:val="both"/>
        <w:rPr>
          <w:rFonts w:ascii="Comex Light" w:hAnsi="Comex Light"/>
          <w:sz w:val="22"/>
          <w:szCs w:val="22"/>
        </w:rPr>
      </w:pPr>
    </w:p>
    <w:p w14:paraId="005E9401" w14:textId="77777777" w:rsidR="00447FAF" w:rsidRPr="0094512D" w:rsidRDefault="00447FAF">
      <w:pPr>
        <w:spacing w:line="276" w:lineRule="auto"/>
        <w:rPr>
          <w:rFonts w:ascii="Comex Light" w:hAnsi="Comex Light"/>
          <w:sz w:val="22"/>
          <w:szCs w:val="22"/>
        </w:rPr>
      </w:pPr>
    </w:p>
    <w:p w14:paraId="5209F8D3" w14:textId="77777777" w:rsidR="00196617" w:rsidRDefault="00196617" w:rsidP="00C93C34">
      <w:pPr>
        <w:pBdr>
          <w:top w:val="nil"/>
          <w:left w:val="nil"/>
          <w:bottom w:val="nil"/>
          <w:right w:val="nil"/>
          <w:between w:val="nil"/>
          <w:bar w:val="nil"/>
        </w:pBdr>
        <w:jc w:val="both"/>
        <w:rPr>
          <w:rFonts w:ascii="Comex Light" w:hAnsi="Comex Light"/>
          <w:sz w:val="22"/>
          <w:szCs w:val="22"/>
        </w:rPr>
      </w:pPr>
    </w:p>
    <w:p w14:paraId="6076554A" w14:textId="7E10208E" w:rsidR="00196617" w:rsidRDefault="00196617" w:rsidP="00C93C34">
      <w:pPr>
        <w:pBdr>
          <w:top w:val="nil"/>
          <w:left w:val="nil"/>
          <w:bottom w:val="nil"/>
          <w:right w:val="nil"/>
          <w:between w:val="nil"/>
          <w:bar w:val="nil"/>
        </w:pBdr>
        <w:jc w:val="both"/>
        <w:rPr>
          <w:rFonts w:ascii="Comex Light" w:hAnsi="Comex Light"/>
          <w:sz w:val="22"/>
          <w:szCs w:val="22"/>
        </w:rPr>
      </w:pPr>
    </w:p>
    <w:p w14:paraId="09D04215" w14:textId="77777777" w:rsidR="00196617" w:rsidRDefault="00196617" w:rsidP="00C93C34">
      <w:pPr>
        <w:pBdr>
          <w:top w:val="nil"/>
          <w:left w:val="nil"/>
          <w:bottom w:val="nil"/>
          <w:right w:val="nil"/>
          <w:between w:val="nil"/>
          <w:bar w:val="nil"/>
        </w:pBdr>
        <w:jc w:val="both"/>
        <w:rPr>
          <w:rFonts w:ascii="Comex Light" w:hAnsi="Comex Light"/>
          <w:sz w:val="22"/>
          <w:szCs w:val="22"/>
        </w:rPr>
      </w:pPr>
    </w:p>
    <w:p w14:paraId="527B74A6" w14:textId="239BD799" w:rsidR="00C93C34" w:rsidRPr="00C93C34" w:rsidRDefault="00196617" w:rsidP="00C93C34">
      <w:pPr>
        <w:pBdr>
          <w:top w:val="nil"/>
          <w:left w:val="nil"/>
          <w:bottom w:val="nil"/>
          <w:right w:val="nil"/>
          <w:between w:val="nil"/>
          <w:bar w:val="nil"/>
        </w:pBdr>
        <w:jc w:val="both"/>
        <w:rPr>
          <w:rFonts w:ascii="Comex Light" w:hAnsi="Comex Light"/>
          <w:sz w:val="22"/>
          <w:szCs w:val="22"/>
        </w:rPr>
      </w:pPr>
      <w:r>
        <w:rPr>
          <w:rFonts w:ascii="Comex Light" w:hAnsi="Comex Light"/>
          <w:sz w:val="22"/>
          <w:szCs w:val="22"/>
        </w:rPr>
        <w:t>Ciudad Mural Tlajomulco se suma a los 143 proyectos que conforman e</w:t>
      </w:r>
      <w:r w:rsidR="000F3464">
        <w:rPr>
          <w:rFonts w:ascii="Comex Light" w:hAnsi="Comex Light"/>
          <w:sz w:val="22"/>
          <w:szCs w:val="22"/>
        </w:rPr>
        <w:t xml:space="preserve">l programa de impacto social Comex por un México Bien Hecho </w:t>
      </w:r>
      <w:r>
        <w:rPr>
          <w:rFonts w:ascii="Comex Light" w:hAnsi="Comex Light"/>
          <w:sz w:val="22"/>
          <w:szCs w:val="22"/>
        </w:rPr>
        <w:t xml:space="preserve">que </w:t>
      </w:r>
      <w:r w:rsidR="000F3464">
        <w:rPr>
          <w:rFonts w:ascii="Comex Light" w:hAnsi="Comex Light"/>
          <w:sz w:val="22"/>
          <w:szCs w:val="22"/>
        </w:rPr>
        <w:t>ha</w:t>
      </w:r>
      <w:r w:rsidR="00FC69CA" w:rsidRPr="0094512D">
        <w:rPr>
          <w:rFonts w:ascii="Comex Light" w:hAnsi="Comex Light"/>
          <w:sz w:val="22"/>
          <w:szCs w:val="22"/>
        </w:rPr>
        <w:t xml:space="preserve"> beneficiado a más de </w:t>
      </w:r>
      <w:r w:rsidR="0094512D" w:rsidRPr="0094512D">
        <w:rPr>
          <w:rFonts w:ascii="Comex Light" w:hAnsi="Comex Light"/>
          <w:sz w:val="22"/>
          <w:szCs w:val="22"/>
        </w:rPr>
        <w:t>11</w:t>
      </w:r>
      <w:r w:rsidR="00FC69CA" w:rsidRPr="0094512D">
        <w:rPr>
          <w:rFonts w:ascii="Comex Light" w:hAnsi="Comex Light"/>
          <w:sz w:val="22"/>
          <w:szCs w:val="22"/>
        </w:rPr>
        <w:t xml:space="preserve"> millones de personas en la República Mexicana, con la participación de más de 1,</w:t>
      </w:r>
      <w:r w:rsidR="0094512D" w:rsidRPr="0094512D">
        <w:rPr>
          <w:rFonts w:ascii="Comex Light" w:hAnsi="Comex Light"/>
          <w:sz w:val="22"/>
          <w:szCs w:val="22"/>
        </w:rPr>
        <w:t>9</w:t>
      </w:r>
      <w:r w:rsidR="00FC69CA" w:rsidRPr="0094512D">
        <w:rPr>
          <w:rFonts w:ascii="Comex Light" w:hAnsi="Comex Light"/>
          <w:sz w:val="22"/>
          <w:szCs w:val="22"/>
        </w:rPr>
        <w:t xml:space="preserve">00 artistas, recuperando más de </w:t>
      </w:r>
      <w:r w:rsidR="0094512D" w:rsidRPr="0094512D">
        <w:rPr>
          <w:rFonts w:ascii="Comex Light" w:hAnsi="Comex Light"/>
          <w:sz w:val="22"/>
          <w:szCs w:val="22"/>
        </w:rPr>
        <w:t>3</w:t>
      </w:r>
      <w:r w:rsidR="00FC69CA" w:rsidRPr="0094512D">
        <w:rPr>
          <w:rFonts w:ascii="Comex Light" w:hAnsi="Comex Light"/>
          <w:sz w:val="22"/>
          <w:szCs w:val="22"/>
        </w:rPr>
        <w:t xml:space="preserve">00 mil metros </w:t>
      </w:r>
      <w:r>
        <w:rPr>
          <w:rFonts w:ascii="Comex Light" w:hAnsi="Comex Light"/>
          <w:sz w:val="22"/>
          <w:szCs w:val="22"/>
        </w:rPr>
        <w:t>cuadrados en el espacio público.</w:t>
      </w:r>
    </w:p>
    <w:p w14:paraId="050E9891" w14:textId="77777777" w:rsidR="00C93C34" w:rsidRDefault="00C93C34" w:rsidP="0009140E">
      <w:pPr>
        <w:jc w:val="both"/>
        <w:rPr>
          <w:rFonts w:ascii="Comex Light" w:hAnsi="Comex Light"/>
          <w:sz w:val="22"/>
          <w:szCs w:val="22"/>
        </w:rPr>
      </w:pPr>
    </w:p>
    <w:p w14:paraId="31CC123F" w14:textId="031AB87B" w:rsidR="0009140E" w:rsidRPr="0094512D" w:rsidRDefault="0009140E" w:rsidP="0009140E">
      <w:pPr>
        <w:jc w:val="both"/>
        <w:rPr>
          <w:rFonts w:ascii="Comex Light" w:hAnsi="Comex Light"/>
          <w:sz w:val="22"/>
          <w:szCs w:val="22"/>
        </w:rPr>
      </w:pPr>
      <w:r w:rsidRPr="0094512D">
        <w:rPr>
          <w:rFonts w:ascii="Comex Light" w:hAnsi="Comex Light"/>
          <w:sz w:val="22"/>
          <w:szCs w:val="22"/>
        </w:rPr>
        <w:t xml:space="preserve">Los proyectos de impacto social son fundamentales para continuar forjando el esfuerzo de las comunidades </w:t>
      </w:r>
      <w:r w:rsidR="00E00367" w:rsidRPr="0094512D">
        <w:rPr>
          <w:rFonts w:ascii="Comex Light" w:hAnsi="Comex Light"/>
          <w:sz w:val="22"/>
          <w:szCs w:val="22"/>
        </w:rPr>
        <w:t>y así</w:t>
      </w:r>
      <w:r w:rsidRPr="0094512D">
        <w:rPr>
          <w:rFonts w:ascii="Comex Light" w:hAnsi="Comex Light"/>
          <w:sz w:val="22"/>
          <w:szCs w:val="22"/>
        </w:rPr>
        <w:t xml:space="preserve"> impulsar su desarrollo hacia un mejor futuro. De esta manera Comex </w:t>
      </w:r>
      <w:r w:rsidR="00196617">
        <w:rPr>
          <w:rFonts w:ascii="Comex Light" w:hAnsi="Comex Light"/>
          <w:sz w:val="22"/>
          <w:szCs w:val="22"/>
        </w:rPr>
        <w:t xml:space="preserve">y sus aliados como Colectivo Tomate </w:t>
      </w:r>
      <w:r w:rsidRPr="0094512D">
        <w:rPr>
          <w:rFonts w:ascii="Comex Light" w:hAnsi="Comex Light"/>
          <w:sz w:val="22"/>
          <w:szCs w:val="22"/>
        </w:rPr>
        <w:t>desarrolla</w:t>
      </w:r>
      <w:r w:rsidR="00196617">
        <w:rPr>
          <w:rFonts w:ascii="Comex Light" w:hAnsi="Comex Light"/>
          <w:sz w:val="22"/>
          <w:szCs w:val="22"/>
        </w:rPr>
        <w:t>n</w:t>
      </w:r>
      <w:r w:rsidRPr="0094512D">
        <w:rPr>
          <w:rFonts w:ascii="Comex Light" w:hAnsi="Comex Light"/>
          <w:sz w:val="22"/>
          <w:szCs w:val="22"/>
        </w:rPr>
        <w:t xml:space="preserve"> iniciativas y una metodología de trabajo comunitario, que brinda un nuevo panorama para locaciones en vulnerabilidad, integrándolas y creando una mejor calidad de vida para sus habitantes.</w:t>
      </w:r>
    </w:p>
    <w:p w14:paraId="2B61555F" w14:textId="77777777" w:rsidR="0009140E" w:rsidRPr="00855B48" w:rsidRDefault="0009140E" w:rsidP="00896F1A">
      <w:pPr>
        <w:spacing w:line="276" w:lineRule="auto"/>
        <w:jc w:val="both"/>
        <w:rPr>
          <w:rFonts w:ascii="Comex Light" w:hAnsi="Comex Light"/>
          <w:sz w:val="22"/>
          <w:szCs w:val="22"/>
        </w:rPr>
      </w:pPr>
    </w:p>
    <w:p w14:paraId="66591F07" w14:textId="04542CF7" w:rsidR="00FC69CA" w:rsidRDefault="00C93C34" w:rsidP="00C93C34">
      <w:pPr>
        <w:spacing w:line="276" w:lineRule="auto"/>
        <w:jc w:val="center"/>
        <w:rPr>
          <w:rFonts w:ascii="Comex Light" w:hAnsi="Comex Light"/>
        </w:rPr>
      </w:pPr>
      <w:r>
        <w:rPr>
          <w:rFonts w:ascii="Comex Light" w:hAnsi="Comex Light"/>
          <w:sz w:val="22"/>
          <w:szCs w:val="22"/>
        </w:rPr>
        <w:t>***</w:t>
      </w:r>
    </w:p>
    <w:p w14:paraId="4A1C8FC5" w14:textId="77777777" w:rsidR="00FC69CA" w:rsidRPr="00855B48" w:rsidRDefault="00FC69CA" w:rsidP="00896F1A">
      <w:pPr>
        <w:spacing w:line="276" w:lineRule="auto"/>
        <w:jc w:val="both"/>
        <w:rPr>
          <w:rFonts w:ascii="Comex Light" w:hAnsi="Comex Light"/>
        </w:rPr>
      </w:pPr>
    </w:p>
    <w:p w14:paraId="307A5EDA" w14:textId="77777777" w:rsidR="005D0184" w:rsidRPr="00855B48" w:rsidRDefault="005D0184" w:rsidP="005D0184">
      <w:pPr>
        <w:jc w:val="both"/>
        <w:rPr>
          <w:rFonts w:ascii="Comex Light" w:eastAsia="Comex Light" w:hAnsi="Comex Light" w:cs="Comex Light"/>
          <w:b/>
          <w:color w:val="999999"/>
          <w:sz w:val="16"/>
          <w:szCs w:val="16"/>
          <w:u w:val="single"/>
        </w:rPr>
      </w:pPr>
      <w:r w:rsidRPr="00855B48">
        <w:rPr>
          <w:rFonts w:ascii="Comex Light" w:eastAsia="Comex Light" w:hAnsi="Comex Light" w:cs="Comex Light"/>
          <w:b/>
          <w:color w:val="999999"/>
          <w:sz w:val="16"/>
          <w:szCs w:val="16"/>
          <w:u w:val="single"/>
        </w:rPr>
        <w:t>Comex, juntos protegemos y embellecemos la vida</w:t>
      </w:r>
    </w:p>
    <w:p w14:paraId="61958BA3" w14:textId="77777777" w:rsidR="005D0184" w:rsidRPr="00855B48" w:rsidRDefault="005D0184" w:rsidP="005D0184">
      <w:pPr>
        <w:jc w:val="both"/>
        <w:rPr>
          <w:rFonts w:ascii="Comex Light" w:eastAsia="Comex Light" w:hAnsi="Comex Light" w:cs="Comex Light"/>
          <w:color w:val="999999"/>
          <w:sz w:val="16"/>
          <w:szCs w:val="16"/>
        </w:rPr>
      </w:pPr>
      <w:r w:rsidRPr="00855B48">
        <w:rPr>
          <w:rFonts w:ascii="Comex Light" w:eastAsia="Comex Light" w:hAnsi="Comex Light" w:cs="Comex Light"/>
          <w:color w:val="999999"/>
          <w:sz w:val="16"/>
          <w:szCs w:val="16"/>
        </w:rPr>
        <w:t>Comex es una marca de PPG, cuenta con más de 4,600 tiendas en México y es líder en la fabricación, comercialización y distribución de pinturas decorativas, texturas, impermeabilizantes, productos para el cuidado de la madera, recubrimientos industriales y accesorios (Éxito). Comex consolida su liderazgo con una tendencia constante en innovación, expansión en diferentes regiones, así como con importantes operaciones en Centroamérica. Este año, Comex celebra 66 años de vida, con más de 15,000 soluciones que embellecen y protegen la vida.</w:t>
      </w:r>
    </w:p>
    <w:p w14:paraId="411AE021" w14:textId="77777777" w:rsidR="005D0184" w:rsidRPr="00855B48" w:rsidRDefault="005D0184" w:rsidP="005D0184">
      <w:pPr>
        <w:jc w:val="both"/>
        <w:rPr>
          <w:rFonts w:ascii="Comex Light" w:eastAsia="Comex Light" w:hAnsi="Comex Light" w:cs="Comex Light"/>
          <w:color w:val="999999"/>
          <w:sz w:val="16"/>
          <w:szCs w:val="16"/>
          <w:u w:val="single"/>
        </w:rPr>
      </w:pPr>
    </w:p>
    <w:p w14:paraId="3F152BC1" w14:textId="77777777" w:rsidR="005D0184" w:rsidRPr="00855B48" w:rsidRDefault="005D0184" w:rsidP="005D0184">
      <w:pPr>
        <w:jc w:val="both"/>
        <w:rPr>
          <w:rFonts w:ascii="Comex Light" w:eastAsia="Comex Light" w:hAnsi="Comex Light" w:cs="Comex Light"/>
          <w:b/>
          <w:color w:val="999999"/>
          <w:sz w:val="16"/>
          <w:szCs w:val="16"/>
          <w:u w:val="single"/>
        </w:rPr>
      </w:pPr>
      <w:r w:rsidRPr="00855B48">
        <w:rPr>
          <w:rFonts w:ascii="Comex Light" w:eastAsia="Comex Light" w:hAnsi="Comex Light" w:cs="Comex Light"/>
          <w:b/>
          <w:color w:val="999999"/>
          <w:sz w:val="16"/>
          <w:szCs w:val="16"/>
          <w:u w:val="single"/>
        </w:rPr>
        <w:t>PPG: protegemos y embellecemos el mundo ™</w:t>
      </w:r>
    </w:p>
    <w:p w14:paraId="2A3C55D2" w14:textId="77777777" w:rsidR="005D0184" w:rsidRPr="00855B48" w:rsidRDefault="005D0184" w:rsidP="005D0184">
      <w:pPr>
        <w:jc w:val="both"/>
        <w:rPr>
          <w:rFonts w:ascii="Comex Light" w:eastAsia="Comex Light" w:hAnsi="Comex Light" w:cs="Comex Light"/>
          <w:color w:val="999999"/>
          <w:sz w:val="16"/>
          <w:szCs w:val="16"/>
        </w:rPr>
      </w:pPr>
      <w:r w:rsidRPr="00855B48">
        <w:rPr>
          <w:rFonts w:ascii="Comex Light" w:eastAsia="Comex Light" w:hAnsi="Comex Light" w:cs="Comex Light"/>
          <w:color w:val="999999"/>
          <w:sz w:val="16"/>
          <w:szCs w:val="16"/>
        </w:rPr>
        <w:t>En PPG (NYSE: PPG), trabajamos día con día para desarrollar y entregar las pinturas, recubrimientos y materiales en los que nuestros clientes han confiado por más de 135 años. A través de la dedicación y creatividad, solucionamos los retos más exigentes de nuestros clientes, colaborando de manera estrecha para encontrar el camino adecuado. Con oficinas centrales en Pittsburgh, operamos e innovamos en más de 70 países y reportamos ventas netas de $14.7 billones de dólares en 2017. Servimos a clientes en los sectores de construcción, consumo, industrial y de transporte. Para saber más, visite www.ppg.com. “Protegemos y embellecemos el mundo”, “</w:t>
      </w:r>
      <w:proofErr w:type="spellStart"/>
      <w:r w:rsidRPr="00855B48">
        <w:rPr>
          <w:rFonts w:ascii="Comex Light" w:eastAsia="Comex Light" w:hAnsi="Comex Light" w:cs="Comex Light"/>
          <w:color w:val="999999"/>
          <w:sz w:val="16"/>
          <w:szCs w:val="16"/>
        </w:rPr>
        <w:t>Colorful</w:t>
      </w:r>
      <w:proofErr w:type="spellEnd"/>
      <w:r w:rsidRPr="00855B48">
        <w:rPr>
          <w:rFonts w:ascii="Comex Light" w:eastAsia="Comex Light" w:hAnsi="Comex Light" w:cs="Comex Light"/>
          <w:color w:val="999999"/>
          <w:sz w:val="16"/>
          <w:szCs w:val="16"/>
        </w:rPr>
        <w:t xml:space="preserve"> </w:t>
      </w:r>
      <w:proofErr w:type="spellStart"/>
      <w:r w:rsidRPr="00855B48">
        <w:rPr>
          <w:rFonts w:ascii="Comex Light" w:eastAsia="Comex Light" w:hAnsi="Comex Light" w:cs="Comex Light"/>
          <w:color w:val="999999"/>
          <w:sz w:val="16"/>
          <w:szCs w:val="16"/>
        </w:rPr>
        <w:t>Communities</w:t>
      </w:r>
      <w:proofErr w:type="spellEnd"/>
      <w:r w:rsidRPr="00855B48">
        <w:rPr>
          <w:rFonts w:ascii="Comex Light" w:eastAsia="Comex Light" w:hAnsi="Comex Light" w:cs="Comex Light"/>
          <w:color w:val="999999"/>
          <w:sz w:val="16"/>
          <w:szCs w:val="16"/>
        </w:rPr>
        <w:t>” y el logo de PPG son marcas registradas de PPG Industries Ohio, Inc.</w:t>
      </w:r>
    </w:p>
    <w:p w14:paraId="67B5106F" w14:textId="77777777" w:rsidR="005D0184" w:rsidRPr="00855B48" w:rsidRDefault="005D0184" w:rsidP="005D0184">
      <w:pPr>
        <w:jc w:val="both"/>
        <w:rPr>
          <w:rFonts w:ascii="Comex Light" w:eastAsia="Proxima Nova" w:hAnsi="Comex Light" w:cs="Proxima Nova"/>
          <w:color w:val="999999"/>
          <w:sz w:val="20"/>
          <w:szCs w:val="20"/>
        </w:rPr>
      </w:pPr>
    </w:p>
    <w:p w14:paraId="2844668A" w14:textId="77777777" w:rsidR="005D0184" w:rsidRPr="00855B48" w:rsidRDefault="005D0184" w:rsidP="005D0184">
      <w:pPr>
        <w:jc w:val="both"/>
        <w:rPr>
          <w:rFonts w:ascii="Comex Light" w:eastAsia="Comex Light" w:hAnsi="Comex Light" w:cs="Comex Light"/>
          <w:b/>
          <w:color w:val="999999"/>
          <w:sz w:val="16"/>
          <w:szCs w:val="16"/>
          <w:u w:val="single"/>
        </w:rPr>
      </w:pPr>
      <w:r w:rsidRPr="00855B48">
        <w:rPr>
          <w:rFonts w:ascii="Comex Light" w:eastAsia="Comex Light" w:hAnsi="Comex Light" w:cs="Comex Light"/>
          <w:b/>
          <w:color w:val="999999"/>
          <w:sz w:val="16"/>
          <w:szCs w:val="16"/>
          <w:u w:val="single"/>
        </w:rPr>
        <w:t>Colectivo Tomate</w:t>
      </w:r>
    </w:p>
    <w:p w14:paraId="631E8B68" w14:textId="77777777" w:rsidR="005D0184" w:rsidRPr="00855B48" w:rsidRDefault="005D0184" w:rsidP="005D0184">
      <w:pPr>
        <w:jc w:val="both"/>
        <w:rPr>
          <w:rFonts w:ascii="Comex Light" w:eastAsia="Comex Light" w:hAnsi="Comex Light" w:cs="Comex Light"/>
          <w:color w:val="999999"/>
          <w:sz w:val="16"/>
          <w:szCs w:val="16"/>
        </w:rPr>
      </w:pPr>
      <w:r w:rsidRPr="00855B48">
        <w:rPr>
          <w:rFonts w:ascii="Comex Light" w:eastAsia="Comex Light" w:hAnsi="Comex Light" w:cs="Comex Light"/>
          <w:color w:val="999999"/>
          <w:sz w:val="16"/>
          <w:szCs w:val="16"/>
        </w:rPr>
        <w:t>Es una asociación civil que inspira a tomar acción para la transformación. Desde 2009, a través de su proyecto Ciudad Mural, ha intervenido en distintos barrios alrededor de la República Mexicana. Este proyecto, además de crear vínculos entre los habitantes y visitantes del barrio, plasma las historias que evocan la identidad de las personas y de la comunidad.</w:t>
      </w:r>
    </w:p>
    <w:p w14:paraId="5BA94E2E" w14:textId="77777777" w:rsidR="005D0184" w:rsidRPr="00855B48" w:rsidRDefault="005D0184" w:rsidP="005D0184">
      <w:pPr>
        <w:jc w:val="right"/>
        <w:rPr>
          <w:rFonts w:ascii="Comex Light" w:eastAsia="Comex Light" w:hAnsi="Comex Light" w:cs="Comex Light"/>
          <w:b/>
          <w:color w:val="000000"/>
          <w:sz w:val="16"/>
          <w:szCs w:val="16"/>
        </w:rPr>
      </w:pPr>
    </w:p>
    <w:p w14:paraId="0CD75F6B" w14:textId="018D99C7" w:rsidR="005D0184" w:rsidRPr="00855B48" w:rsidRDefault="005D0184" w:rsidP="005D0184">
      <w:pPr>
        <w:jc w:val="right"/>
        <w:rPr>
          <w:rFonts w:ascii="Comex Light" w:eastAsia="Comex Light" w:hAnsi="Comex Light" w:cs="Comex Light"/>
          <w:sz w:val="18"/>
          <w:szCs w:val="18"/>
        </w:rPr>
      </w:pPr>
    </w:p>
    <w:p w14:paraId="4C25A0BD" w14:textId="77777777" w:rsidR="00FC69CA" w:rsidRPr="00855B48" w:rsidRDefault="00FC69CA" w:rsidP="00FC69CA">
      <w:pPr>
        <w:jc w:val="right"/>
        <w:rPr>
          <w:rFonts w:ascii="Comex Light" w:eastAsia="Comex Light" w:hAnsi="Comex Light" w:cs="Comex Light"/>
          <w:sz w:val="18"/>
          <w:szCs w:val="18"/>
        </w:rPr>
      </w:pPr>
      <w:r w:rsidRPr="00855B48">
        <w:rPr>
          <w:rFonts w:ascii="Comex Light" w:eastAsia="Comex Light" w:hAnsi="Comex Light" w:cs="Comex Light"/>
          <w:b/>
          <w:color w:val="000000"/>
          <w:sz w:val="16"/>
          <w:szCs w:val="16"/>
        </w:rPr>
        <w:t>Contacto con medios:</w:t>
      </w:r>
    </w:p>
    <w:p w14:paraId="5A94406F" w14:textId="77777777" w:rsidR="00FC69CA" w:rsidRPr="00855B48" w:rsidRDefault="00FC69CA" w:rsidP="00FC69CA">
      <w:pPr>
        <w:jc w:val="right"/>
        <w:rPr>
          <w:rFonts w:ascii="Comex Light" w:eastAsia="Comex Light" w:hAnsi="Comex Light" w:cs="Comex Light"/>
          <w:sz w:val="18"/>
          <w:szCs w:val="18"/>
        </w:rPr>
      </w:pPr>
      <w:r w:rsidRPr="00855B48">
        <w:rPr>
          <w:rFonts w:ascii="Comex Light" w:eastAsia="Comex Light" w:hAnsi="Comex Light" w:cs="Comex Light"/>
          <w:b/>
          <w:color w:val="000000"/>
          <w:sz w:val="16"/>
          <w:szCs w:val="16"/>
        </w:rPr>
        <w:t>Lidya Fresnedo</w:t>
      </w:r>
    </w:p>
    <w:p w14:paraId="0478D0FF" w14:textId="77777777" w:rsidR="00FC69CA" w:rsidRPr="00855B48" w:rsidRDefault="00FC69CA" w:rsidP="00FC69CA">
      <w:pPr>
        <w:jc w:val="right"/>
        <w:rPr>
          <w:rFonts w:ascii="Comex Light" w:eastAsia="Comex Light" w:hAnsi="Comex Light" w:cs="Comex Light"/>
          <w:sz w:val="18"/>
          <w:szCs w:val="18"/>
        </w:rPr>
      </w:pPr>
      <w:r w:rsidRPr="00855B48">
        <w:rPr>
          <w:rFonts w:ascii="Comex Light" w:eastAsia="Comex Light" w:hAnsi="Comex Light" w:cs="Comex Light"/>
          <w:b/>
          <w:color w:val="000000"/>
          <w:sz w:val="16"/>
          <w:szCs w:val="16"/>
        </w:rPr>
        <w:t>PPG Comex</w:t>
      </w:r>
    </w:p>
    <w:p w14:paraId="29F684FB" w14:textId="77777777" w:rsidR="00FC69CA" w:rsidRPr="00855B48" w:rsidRDefault="00067386" w:rsidP="00FC69CA">
      <w:pPr>
        <w:jc w:val="right"/>
        <w:rPr>
          <w:rFonts w:ascii="Comex Light" w:eastAsia="Comex Light" w:hAnsi="Comex Light" w:cs="Comex Light"/>
          <w:sz w:val="18"/>
          <w:szCs w:val="18"/>
        </w:rPr>
      </w:pPr>
      <w:hyperlink r:id="rId8" w:history="1">
        <w:r w:rsidR="00FC69CA" w:rsidRPr="00855B48">
          <w:rPr>
            <w:rStyle w:val="Hipervnculo"/>
            <w:rFonts w:ascii="Comex Light" w:eastAsia="Comex Light" w:hAnsi="Comex Light" w:cs="Comex Light"/>
            <w:b/>
            <w:color w:val="1155CC"/>
            <w:sz w:val="16"/>
            <w:szCs w:val="16"/>
          </w:rPr>
          <w:t>lfresnedo@ppg.com</w:t>
        </w:r>
      </w:hyperlink>
    </w:p>
    <w:p w14:paraId="71584974" w14:textId="77777777" w:rsidR="00FC69CA" w:rsidRPr="00855B48" w:rsidRDefault="00FC69CA" w:rsidP="00FC69CA">
      <w:pPr>
        <w:jc w:val="right"/>
        <w:rPr>
          <w:rFonts w:ascii="Comex Light" w:eastAsia="Comex Light" w:hAnsi="Comex Light" w:cs="Comex Light"/>
          <w:sz w:val="18"/>
          <w:szCs w:val="18"/>
        </w:rPr>
      </w:pPr>
      <w:r w:rsidRPr="00855B48">
        <w:rPr>
          <w:rFonts w:ascii="Comex Light" w:eastAsia="Comex Light" w:hAnsi="Comex Light" w:cs="Comex Light"/>
          <w:b/>
          <w:color w:val="000000"/>
          <w:sz w:val="16"/>
          <w:szCs w:val="16"/>
        </w:rPr>
        <w:t>Claudio Rodríguez</w:t>
      </w:r>
    </w:p>
    <w:p w14:paraId="6306D0CA" w14:textId="77777777" w:rsidR="00FC69CA" w:rsidRPr="00855B48" w:rsidRDefault="00FC69CA" w:rsidP="00FC69CA">
      <w:pPr>
        <w:jc w:val="right"/>
        <w:rPr>
          <w:rFonts w:ascii="Comex Light" w:eastAsia="Comex Light" w:hAnsi="Comex Light" w:cs="Comex Light"/>
          <w:sz w:val="18"/>
          <w:szCs w:val="18"/>
        </w:rPr>
      </w:pPr>
      <w:r w:rsidRPr="00855B48">
        <w:rPr>
          <w:rFonts w:ascii="Comex Light" w:eastAsia="Comex Light" w:hAnsi="Comex Light" w:cs="Comex Light"/>
          <w:b/>
          <w:color w:val="000000"/>
          <w:sz w:val="16"/>
          <w:szCs w:val="16"/>
        </w:rPr>
        <w:t>LLORENTE Y CUENCA</w:t>
      </w:r>
    </w:p>
    <w:p w14:paraId="1784B3B8" w14:textId="77777777" w:rsidR="00FC69CA" w:rsidRPr="00855B48" w:rsidRDefault="00067386" w:rsidP="00FC69CA">
      <w:pPr>
        <w:jc w:val="right"/>
        <w:rPr>
          <w:rFonts w:ascii="Comex Light" w:eastAsia="Comex Light" w:hAnsi="Comex Light" w:cs="Comex Light"/>
          <w:sz w:val="18"/>
          <w:szCs w:val="18"/>
        </w:rPr>
      </w:pPr>
      <w:hyperlink r:id="rId9" w:history="1">
        <w:r w:rsidR="00FC69CA" w:rsidRPr="00855B48">
          <w:rPr>
            <w:rStyle w:val="Hipervnculo"/>
            <w:rFonts w:ascii="Comex Light" w:eastAsia="Comex Light" w:hAnsi="Comex Light" w:cs="Comex Light"/>
            <w:b/>
            <w:color w:val="1155CC"/>
            <w:sz w:val="16"/>
            <w:szCs w:val="16"/>
          </w:rPr>
          <w:t>crodriguezl@llorenteycuenca.com</w:t>
        </w:r>
      </w:hyperlink>
    </w:p>
    <w:p w14:paraId="58EF679E" w14:textId="77777777" w:rsidR="00FC69CA" w:rsidRPr="00855B48" w:rsidRDefault="00FC69CA" w:rsidP="00FC69CA">
      <w:pPr>
        <w:jc w:val="right"/>
        <w:rPr>
          <w:rFonts w:ascii="Comex Light" w:eastAsia="Comex Light" w:hAnsi="Comex Light" w:cs="Comex Light"/>
          <w:sz w:val="18"/>
          <w:szCs w:val="18"/>
        </w:rPr>
      </w:pPr>
      <w:r w:rsidRPr="00855B48">
        <w:rPr>
          <w:rFonts w:ascii="Comex Light" w:eastAsia="Comex Light" w:hAnsi="Comex Light" w:cs="Comex Light"/>
          <w:b/>
          <w:color w:val="000000"/>
          <w:sz w:val="16"/>
          <w:szCs w:val="16"/>
        </w:rPr>
        <w:t>Melisa Mata</w:t>
      </w:r>
    </w:p>
    <w:p w14:paraId="13A07E15" w14:textId="77777777" w:rsidR="00FC69CA" w:rsidRDefault="00FC69CA" w:rsidP="00FC69CA">
      <w:pPr>
        <w:jc w:val="right"/>
        <w:rPr>
          <w:rFonts w:ascii="Comex Light" w:eastAsia="Comex Light" w:hAnsi="Comex Light" w:cs="Comex Light"/>
          <w:sz w:val="18"/>
          <w:szCs w:val="18"/>
        </w:rPr>
      </w:pPr>
      <w:r w:rsidRPr="00855B48">
        <w:rPr>
          <w:rFonts w:ascii="Comex Light" w:eastAsia="Comex Light" w:hAnsi="Comex Light" w:cs="Comex Light"/>
          <w:b/>
          <w:color w:val="000000"/>
          <w:sz w:val="16"/>
          <w:szCs w:val="16"/>
        </w:rPr>
        <w:t>COLECTIVO TOMATE</w:t>
      </w:r>
    </w:p>
    <w:p w14:paraId="5EF55247" w14:textId="3607E591" w:rsidR="005D0184" w:rsidRPr="00FC69CA" w:rsidRDefault="00067386" w:rsidP="00FC69CA">
      <w:pPr>
        <w:jc w:val="right"/>
        <w:rPr>
          <w:rFonts w:ascii="Comex Light" w:eastAsia="Comex Light" w:hAnsi="Comex Light" w:cs="Comex Light"/>
          <w:sz w:val="18"/>
          <w:szCs w:val="18"/>
        </w:rPr>
      </w:pPr>
      <w:hyperlink r:id="rId10" w:history="1">
        <w:r w:rsidR="00FC69CA" w:rsidRPr="00944D75">
          <w:rPr>
            <w:rStyle w:val="Hipervnculo"/>
            <w:rFonts w:ascii="Comex Light" w:eastAsia="Comex Light" w:hAnsi="Comex Light" w:cs="Comex Light"/>
            <w:b/>
            <w:sz w:val="16"/>
            <w:szCs w:val="16"/>
          </w:rPr>
          <w:t>medios@colectivotomate.com</w:t>
        </w:r>
      </w:hyperlink>
    </w:p>
    <w:sectPr w:rsidR="005D0184" w:rsidRPr="00FC69CA">
      <w:headerReference w:type="default" r:id="rId11"/>
      <w:pgSz w:w="12240" w:h="15840"/>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A2E09" w14:textId="77777777" w:rsidR="00067386" w:rsidRDefault="00067386" w:rsidP="005D0184">
      <w:r>
        <w:separator/>
      </w:r>
    </w:p>
  </w:endnote>
  <w:endnote w:type="continuationSeparator" w:id="0">
    <w:p w14:paraId="507D8BD1" w14:textId="77777777" w:rsidR="00067386" w:rsidRDefault="00067386" w:rsidP="005D0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variable"/>
  </w:font>
  <w:font w:name="Liberation Serif">
    <w:altName w:val="Times New Roman"/>
    <w:charset w:val="01"/>
    <w:family w:val="roman"/>
    <w:pitch w:val="variable"/>
  </w:font>
  <w:font w:name="DejaVu Sans">
    <w:altName w:val="Verdana"/>
    <w:panose1 w:val="00000000000000000000"/>
    <w:charset w:val="00"/>
    <w:family w:val="roman"/>
    <w:notTrueType/>
    <w:pitch w:val="default"/>
  </w:font>
  <w:font w:name="FreeSans">
    <w:altName w:val="Cambria"/>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mex Light">
    <w:altName w:val="Calibri"/>
    <w:panose1 w:val="00000000000000000000"/>
    <w:charset w:val="00"/>
    <w:family w:val="modern"/>
    <w:notTrueType/>
    <w:pitch w:val="variable"/>
    <w:sig w:usb0="A00000AF" w:usb1="4000004A" w:usb2="00000000" w:usb3="00000000" w:csb0="00000111" w:csb1="00000000"/>
  </w:font>
  <w:font w:name="Proxima Nova">
    <w:altName w:val="Tahoma"/>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FE144" w14:textId="77777777" w:rsidR="00067386" w:rsidRDefault="00067386" w:rsidP="005D0184">
      <w:r>
        <w:separator/>
      </w:r>
    </w:p>
  </w:footnote>
  <w:footnote w:type="continuationSeparator" w:id="0">
    <w:p w14:paraId="793FF868" w14:textId="77777777" w:rsidR="00067386" w:rsidRDefault="00067386" w:rsidP="005D01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90A2B" w14:textId="307FA7A9" w:rsidR="005D0184" w:rsidRDefault="005D0184">
    <w:pPr>
      <w:pStyle w:val="Encabezado"/>
    </w:pPr>
  </w:p>
  <w:p w14:paraId="0B7D9981" w14:textId="77777777" w:rsidR="005D0184" w:rsidRDefault="005D0184">
    <w:pPr>
      <w:pStyle w:val="Encabezado"/>
      <w:rPr>
        <w:noProof/>
      </w:rPr>
    </w:pPr>
  </w:p>
  <w:p w14:paraId="24452345" w14:textId="57379C8C" w:rsidR="005D0184" w:rsidRDefault="005D0184">
    <w:pPr>
      <w:pStyle w:val="Encabezado"/>
    </w:pPr>
    <w:r>
      <w:rPr>
        <w:noProof/>
        <w:lang w:eastAsia="es-MX" w:bidi="ar-SA"/>
      </w:rPr>
      <w:drawing>
        <wp:anchor distT="0" distB="0" distL="114300" distR="114300" simplePos="0" relativeHeight="251660288" behindDoc="1" locked="0" layoutInCell="1" allowOverlap="1" wp14:anchorId="6F88DD95" wp14:editId="3F2DB2F8">
          <wp:simplePos x="0" y="0"/>
          <wp:positionH relativeFrom="page">
            <wp:posOffset>1009650</wp:posOffset>
          </wp:positionH>
          <wp:positionV relativeFrom="page">
            <wp:posOffset>389890</wp:posOffset>
          </wp:positionV>
          <wp:extent cx="5391150" cy="323837"/>
          <wp:effectExtent l="0" t="0" r="0" b="0"/>
          <wp:wrapNone/>
          <wp:docPr id="1" name="Gráfic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5391150" cy="323837"/>
                  </a:xfrm>
                  <a:prstGeom prst="rect">
                    <a:avLst/>
                  </a:prstGeom>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86307"/>
    <w:multiLevelType w:val="hybridMultilevel"/>
    <w:tmpl w:val="2E5AA23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E2F72A1"/>
    <w:multiLevelType w:val="multilevel"/>
    <w:tmpl w:val="B220089C"/>
    <w:lvl w:ilvl="0">
      <w:start w:val="1"/>
      <w:numFmt w:val="bullet"/>
      <w:lvlText w:val=""/>
      <w:lvlJc w:val="left"/>
      <w:pPr>
        <w:tabs>
          <w:tab w:val="num" w:pos="720"/>
        </w:tabs>
        <w:ind w:left="720" w:hanging="360"/>
      </w:pPr>
      <w:rPr>
        <w:rFonts w:ascii="Symbol" w:hAnsi="Symbol" w:cs="OpenSymbol" w:hint="default"/>
        <w:sz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44F77945"/>
    <w:multiLevelType w:val="multilevel"/>
    <w:tmpl w:val="5728204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FAF"/>
    <w:rsid w:val="00004185"/>
    <w:rsid w:val="00067386"/>
    <w:rsid w:val="0009140E"/>
    <w:rsid w:val="000F3464"/>
    <w:rsid w:val="00196617"/>
    <w:rsid w:val="00223B28"/>
    <w:rsid w:val="00266E52"/>
    <w:rsid w:val="003167D4"/>
    <w:rsid w:val="004351D7"/>
    <w:rsid w:val="00447FAF"/>
    <w:rsid w:val="00483511"/>
    <w:rsid w:val="00490CBB"/>
    <w:rsid w:val="005D0184"/>
    <w:rsid w:val="00683B58"/>
    <w:rsid w:val="00855B48"/>
    <w:rsid w:val="00896F1A"/>
    <w:rsid w:val="0094512D"/>
    <w:rsid w:val="009872A3"/>
    <w:rsid w:val="009B1520"/>
    <w:rsid w:val="00BA137C"/>
    <w:rsid w:val="00C93C34"/>
    <w:rsid w:val="00D6689A"/>
    <w:rsid w:val="00D920A3"/>
    <w:rsid w:val="00E00367"/>
    <w:rsid w:val="00E71660"/>
    <w:rsid w:val="00F40DB8"/>
    <w:rsid w:val="00F77BA1"/>
    <w:rsid w:val="00F93E4A"/>
    <w:rsid w:val="00FC69CA"/>
    <w:rsid w:val="00FD3DB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F1980"/>
  <w15:docId w15:val="{74270586-D779-49A3-BE20-F283D8376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FreeSans"/>
        <w:kern w:val="2"/>
        <w:szCs w:val="24"/>
        <w:lang w:val="es-MX" w:eastAsia="zh-HK"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Vietas">
    <w:name w:val="Viñetas"/>
    <w:qFormat/>
    <w:rPr>
      <w:rFonts w:ascii="OpenSymbol" w:eastAsia="OpenSymbol" w:hAnsi="OpenSymbol" w:cs="OpenSymbol"/>
    </w:rPr>
  </w:style>
  <w:style w:type="character" w:customStyle="1" w:styleId="ListLabel1">
    <w:name w:val="ListLabel 1"/>
    <w:qFormat/>
    <w:rPr>
      <w:rFonts w:cs="OpenSymbol"/>
      <w:sz w:val="22"/>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paragraph" w:styleId="Ttulo">
    <w:name w:val="Title"/>
    <w:basedOn w:val="Normal"/>
    <w:next w:val="Textoindependiente"/>
    <w:uiPriority w:val="10"/>
    <w:qFormat/>
    <w:pPr>
      <w:jc w:val="center"/>
    </w:pPr>
    <w:rPr>
      <w:b/>
      <w:bCs/>
      <w:sz w:val="56"/>
      <w:szCs w:val="56"/>
    </w:rPr>
  </w:style>
  <w:style w:type="paragraph" w:styleId="Textoindependiente">
    <w:name w:val="Body Text"/>
    <w:basedOn w:val="Normal"/>
    <w:pPr>
      <w:spacing w:after="140" w:line="276" w:lineRule="auto"/>
    </w:pPr>
  </w:style>
  <w:style w:type="paragraph" w:styleId="Lista">
    <w:name w:val="List"/>
    <w:basedOn w:val="Textoindependiente"/>
  </w:style>
  <w:style w:type="paragraph" w:styleId="Descripcin">
    <w:name w:val="caption"/>
    <w:basedOn w:val="Normal"/>
    <w:qFormat/>
    <w:pPr>
      <w:suppressLineNumbers/>
      <w:spacing w:before="120" w:after="120"/>
    </w:pPr>
    <w:rPr>
      <w:i/>
      <w:iCs/>
    </w:rPr>
  </w:style>
  <w:style w:type="paragraph" w:customStyle="1" w:styleId="ndice">
    <w:name w:val="Índice"/>
    <w:basedOn w:val="Normal"/>
    <w:qFormat/>
    <w:pPr>
      <w:suppressLineNumbers/>
    </w:pPr>
  </w:style>
  <w:style w:type="paragraph" w:styleId="Subttulo">
    <w:name w:val="Subtitle"/>
    <w:basedOn w:val="Normal"/>
    <w:uiPriority w:val="11"/>
    <w:qFormat/>
    <w:pPr>
      <w:spacing w:before="60" w:after="120"/>
      <w:jc w:val="center"/>
    </w:pPr>
    <w:rPr>
      <w:sz w:val="36"/>
      <w:szCs w:val="36"/>
    </w:rPr>
  </w:style>
  <w:style w:type="paragraph" w:styleId="Encabezado">
    <w:name w:val="header"/>
    <w:basedOn w:val="Normal"/>
    <w:link w:val="EncabezadoCar"/>
    <w:uiPriority w:val="99"/>
    <w:unhideWhenUsed/>
    <w:rsid w:val="005D0184"/>
    <w:pPr>
      <w:tabs>
        <w:tab w:val="center" w:pos="4419"/>
        <w:tab w:val="right" w:pos="8838"/>
      </w:tabs>
    </w:pPr>
    <w:rPr>
      <w:rFonts w:cs="Mangal"/>
      <w:szCs w:val="21"/>
    </w:rPr>
  </w:style>
  <w:style w:type="character" w:customStyle="1" w:styleId="EncabezadoCar">
    <w:name w:val="Encabezado Car"/>
    <w:basedOn w:val="Fuentedeprrafopredeter"/>
    <w:link w:val="Encabezado"/>
    <w:uiPriority w:val="99"/>
    <w:rsid w:val="005D0184"/>
    <w:rPr>
      <w:rFonts w:cs="Mangal"/>
      <w:sz w:val="24"/>
      <w:szCs w:val="21"/>
    </w:rPr>
  </w:style>
  <w:style w:type="paragraph" w:styleId="Piedepgina">
    <w:name w:val="footer"/>
    <w:basedOn w:val="Normal"/>
    <w:link w:val="PiedepginaCar"/>
    <w:uiPriority w:val="99"/>
    <w:unhideWhenUsed/>
    <w:rsid w:val="005D0184"/>
    <w:pPr>
      <w:tabs>
        <w:tab w:val="center" w:pos="4419"/>
        <w:tab w:val="right" w:pos="8838"/>
      </w:tabs>
    </w:pPr>
    <w:rPr>
      <w:rFonts w:cs="Mangal"/>
      <w:szCs w:val="21"/>
    </w:rPr>
  </w:style>
  <w:style w:type="character" w:customStyle="1" w:styleId="PiedepginaCar">
    <w:name w:val="Pie de página Car"/>
    <w:basedOn w:val="Fuentedeprrafopredeter"/>
    <w:link w:val="Piedepgina"/>
    <w:uiPriority w:val="99"/>
    <w:rsid w:val="005D0184"/>
    <w:rPr>
      <w:rFonts w:cs="Mangal"/>
      <w:sz w:val="24"/>
      <w:szCs w:val="21"/>
    </w:rPr>
  </w:style>
  <w:style w:type="character" w:styleId="Hipervnculo">
    <w:name w:val="Hyperlink"/>
    <w:basedOn w:val="Fuentedeprrafopredeter"/>
    <w:uiPriority w:val="99"/>
    <w:unhideWhenUsed/>
    <w:rsid w:val="005D0184"/>
    <w:rPr>
      <w:color w:val="0563C1" w:themeColor="hyperlink"/>
      <w:u w:val="single"/>
    </w:rPr>
  </w:style>
  <w:style w:type="paragraph" w:styleId="Textodeglobo">
    <w:name w:val="Balloon Text"/>
    <w:basedOn w:val="Normal"/>
    <w:link w:val="TextodegloboCar"/>
    <w:uiPriority w:val="99"/>
    <w:semiHidden/>
    <w:unhideWhenUsed/>
    <w:rsid w:val="009B1520"/>
    <w:rPr>
      <w:rFonts w:ascii="Segoe UI" w:hAnsi="Segoe UI" w:cs="Mangal"/>
      <w:sz w:val="18"/>
      <w:szCs w:val="16"/>
    </w:rPr>
  </w:style>
  <w:style w:type="character" w:customStyle="1" w:styleId="TextodegloboCar">
    <w:name w:val="Texto de globo Car"/>
    <w:basedOn w:val="Fuentedeprrafopredeter"/>
    <w:link w:val="Textodeglobo"/>
    <w:uiPriority w:val="99"/>
    <w:semiHidden/>
    <w:rsid w:val="009B1520"/>
    <w:rPr>
      <w:rFonts w:ascii="Segoe UI" w:hAnsi="Segoe UI" w:cs="Mangal"/>
      <w:sz w:val="18"/>
      <w:szCs w:val="16"/>
    </w:rPr>
  </w:style>
  <w:style w:type="character" w:customStyle="1" w:styleId="Mencinsinresolver1">
    <w:name w:val="Mención sin resolver1"/>
    <w:basedOn w:val="Fuentedeprrafopredeter"/>
    <w:uiPriority w:val="99"/>
    <w:semiHidden/>
    <w:unhideWhenUsed/>
    <w:rsid w:val="00FC69CA"/>
    <w:rPr>
      <w:color w:val="605E5C"/>
      <w:shd w:val="clear" w:color="auto" w:fill="E1DFDD"/>
    </w:rPr>
  </w:style>
  <w:style w:type="paragraph" w:styleId="Prrafodelista">
    <w:name w:val="List Paragraph"/>
    <w:basedOn w:val="Normal"/>
    <w:link w:val="PrrafodelistaCar"/>
    <w:uiPriority w:val="34"/>
    <w:qFormat/>
    <w:rsid w:val="00FC69CA"/>
    <w:pPr>
      <w:spacing w:after="200" w:line="276" w:lineRule="auto"/>
      <w:ind w:left="720"/>
      <w:contextualSpacing/>
    </w:pPr>
    <w:rPr>
      <w:rFonts w:ascii="Calibri" w:eastAsia="Calibri" w:hAnsi="Calibri" w:cs="Times New Roman"/>
      <w:kern w:val="0"/>
      <w:sz w:val="22"/>
      <w:szCs w:val="22"/>
      <w:lang w:eastAsia="en-US" w:bidi="ar-SA"/>
    </w:rPr>
  </w:style>
  <w:style w:type="character" w:customStyle="1" w:styleId="PrrafodelistaCar">
    <w:name w:val="Párrafo de lista Car"/>
    <w:basedOn w:val="Fuentedeprrafopredeter"/>
    <w:link w:val="Prrafodelista"/>
    <w:uiPriority w:val="34"/>
    <w:rsid w:val="00FC69CA"/>
    <w:rPr>
      <w:rFonts w:ascii="Calibri" w:eastAsia="Calibri" w:hAnsi="Calibri" w:cs="Times New Roman"/>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291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fresnedo@ppg.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dios@colectivotomate.com" TargetMode="External"/><Relationship Id="rId4" Type="http://schemas.openxmlformats.org/officeDocument/2006/relationships/settings" Target="settings.xml"/><Relationship Id="rId9" Type="http://schemas.openxmlformats.org/officeDocument/2006/relationships/hyperlink" Target="mailto:crodriguezl@llorenteycuenca.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98650-A44F-440C-A8F8-0B5BC51C4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877</Words>
  <Characters>4828</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Romeo LopCam</dc:creator>
  <dc:description/>
  <cp:lastModifiedBy>Melisa</cp:lastModifiedBy>
  <cp:revision>4</cp:revision>
  <dcterms:created xsi:type="dcterms:W3CDTF">2019-12-03T19:50:00Z</dcterms:created>
  <dcterms:modified xsi:type="dcterms:W3CDTF">2019-12-07T21:43:00Z</dcterms:modified>
  <dc:language>es-MX</dc:language>
</cp:coreProperties>
</file>